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Cahier des charges de refonte de site internet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C9C9D2"/>
          <w:left w:val="single" w:sz="4" w:space="0" w:color="C9C9D2"/>
          <w:bottom w:val="single" w:sz="4" w:space="0" w:color="C9C9D2"/>
          <w:right w:val="single" w:sz="4" w:space="0" w:color="C9C9D2"/>
          <w:insideH w:val="single" w:sz="4" w:space="0" w:color="C9C9D2"/>
          <w:insideV w:val="single" w:sz="4" w:space="0" w:color="C9C9D2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948"/>
        <w:gridCol w:w="6463"/>
      </w:tblGrid>
      <w:tr>
        <w:tc>
          <w:tcPr>
            <w:tcW w:type="dxa" w:w="2948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Entreprise</w:t>
            </w:r>
          </w:p>
        </w:tc>
        <w:tc>
          <w:tcPr>
            <w:tcW w:type="dxa" w:w="6463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[nom]</w:t>
            </w:r>
          </w:p>
        </w:tc>
      </w:tr>
      <w:tr>
        <w:tc>
          <w:tcPr>
            <w:tcW w:type="dxa" w:w="2948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Site actuel</w:t>
            </w:r>
          </w:p>
        </w:tc>
        <w:tc>
          <w:tcPr>
            <w:tcW w:type="dxa" w:w="6463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[adresse]</w:t>
            </w:r>
          </w:p>
        </w:tc>
      </w:tr>
      <w:tr>
        <w:tc>
          <w:tcPr>
            <w:tcW w:type="dxa" w:w="2948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Rédigé par</w:t>
            </w:r>
          </w:p>
        </w:tc>
        <w:tc>
          <w:tcPr>
            <w:tcW w:type="dxa" w:w="6463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[nom, fonction, téléphone, e-mail]</w:t>
            </w:r>
          </w:p>
        </w:tc>
      </w:tr>
      <w:tr>
        <w:tc>
          <w:tcPr>
            <w:tcW w:type="dxa" w:w="2948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Date et version</w:t>
            </w:r>
          </w:p>
        </w:tc>
        <w:tc>
          <w:tcPr>
            <w:tcW w:type="dxa" w:w="6463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[date, version]</w:t>
            </w:r>
          </w:p>
        </w:tc>
      </w:tr>
      <w:tr>
        <w:tc>
          <w:tcPr>
            <w:tcW w:type="dxa" w:w="2948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Réponse attendue avant le</w:t>
            </w:r>
          </w:p>
        </w:tc>
        <w:tc>
          <w:tcPr>
            <w:tcW w:type="dxa" w:w="6463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[date]</w:t>
            </w:r>
          </w:p>
        </w:tc>
      </w:tr>
    </w:tbl>
    <w:p>
      <w:pPr>
        <w:pStyle w:val="Heading2"/>
      </w:pPr>
      <w:r>
        <w:t>Mode d'emploi</w:t>
      </w:r>
    </w:p>
    <w:p>
      <w:pPr>
        <w:pStyle w:val="ListBullet"/>
        <w:spacing w:after="60"/>
      </w:pPr>
      <w:r>
        <w:t>Remplacez le texte gris entre crochets et supprimez ce qui ne vous concerne pas.</w:t>
      </w:r>
    </w:p>
    <w:p>
      <w:pPr>
        <w:pStyle w:val="ListBullet"/>
        <w:spacing w:after="60"/>
      </w:pPr>
      <w:r>
        <w:t>Si vous ne savez pas remplir une ligne, écrivez « à préciser avec le prestataire ». Une question ouverte vaut mieux qu'une exigence inventée.</w:t>
      </w:r>
    </w:p>
    <w:p>
      <w:pPr>
        <w:pStyle w:val="ListBullet"/>
        <w:spacing w:after="60"/>
      </w:pPr>
      <w:r>
        <w:t>Les rubriques marquées « Propre à la refonte » protègent ce que votre site actuel a déjà acquis : ne les supprimez pas si l'ancien site reçoit des visites.</w:t>
      </w:r>
    </w:p>
    <w:p>
      <w:pPr>
        <w:pStyle w:val="ListBullet"/>
        <w:spacing w:after="60"/>
      </w:pPr>
      <w:r>
        <w:t>Supprimez ce mode d'emploi avant d'envoyer le document.</w:t>
      </w:r>
    </w:p>
    <w:p>
      <w:pPr>
        <w:pStyle w:val="ListBullet"/>
        <w:spacing w:after="60"/>
      </w:pPr>
      <w:r>
        <w:t xml:space="preserve">Ce modèle est gratuit et librement modifiable. Chaque rubrique est expliquée dans l'article </w:t>
      </w:r>
      <w:hyperlink r:id="rId9">
        <w:r>
          <w:rPr>
            <w:color w:val="A84A00"/>
            <w:u w:val="single"/>
          </w:rPr>
          <w:t>Cahier des charges de refonte de site internet</w:t>
        </w:r>
      </w:hyperlink>
      <w:r>
        <w:t>, avec un exemple réel.</w:t>
      </w:r>
    </w:p>
    <w:p>
      <w:pPr>
        <w:pStyle w:val="Heading1"/>
      </w:pPr>
      <w:r>
        <w:t>1. Contexte et raisons de la refonte</w:t>
      </w:r>
    </w:p>
    <w:p>
      <w:pPr>
        <w:keepNext/>
      </w:pPr>
      <w:r>
        <w:rPr>
          <w:i/>
          <w:color w:val="5A5A66"/>
          <w:sz w:val="20"/>
        </w:rPr>
        <w:t>Le prestataire doit comprendre votre activité et ce qui rend la refonte nécessaire maintenant.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C9C9D2"/>
          <w:left w:val="single" w:sz="4" w:space="0" w:color="C9C9D2"/>
          <w:bottom w:val="single" w:sz="4" w:space="0" w:color="C9C9D2"/>
          <w:right w:val="single" w:sz="4" w:space="0" w:color="C9C9D2"/>
          <w:insideH w:val="single" w:sz="4" w:space="0" w:color="C9C9D2"/>
          <w:insideV w:val="single" w:sz="4" w:space="0" w:color="C9C9D2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3175"/>
        <w:gridCol w:w="6237"/>
      </w:tblGrid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L'entreprise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[activité, taille, zone d'intervention, clients types]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La personne qui décide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[nom, rôle, disponibilité pour valider]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Les raisons de la refonte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[trois motifs concrets : illisible sur téléphone, impossible à mettre à jour, offre qui a changé…]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L'échéance et ce qui l'impose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[salon, saison, fin de contrat d'hébergement, ou aucune contrainte]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Ce qui reste hors du projet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[ce que vous ne voulez pas traiter maintenant]</w:t>
            </w:r>
          </w:p>
        </w:tc>
      </w:tr>
    </w:tbl>
    <w:p>
      <w:pPr>
        <w:pStyle w:val="Heading1"/>
      </w:pPr>
      <w:r>
        <w:t>2. Ce qui fonctionne et ne doit pas se perdre</w:t>
      </w:r>
    </w:p>
    <w:p>
      <w:pPr>
        <w:keepNext/>
        <w:spacing w:after="40"/>
      </w:pPr>
      <w:r>
        <w:rPr>
          <w:b/>
          <w:color w:val="A84A00"/>
          <w:sz w:val="18"/>
        </w:rPr>
        <w:t>Propre à la refonte</w:t>
      </w:r>
    </w:p>
    <w:p>
      <w:pPr>
        <w:keepNext/>
      </w:pPr>
      <w:r>
        <w:rPr>
          <w:i/>
          <w:color w:val="5A5A66"/>
          <w:sz w:val="20"/>
        </w:rPr>
        <w:t>Une refonte qui oublie ce qui marche aujourd'hui peut faire moins bien que l'ancien site, même si elle est plus belle.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C9C9D2"/>
          <w:left w:val="single" w:sz="4" w:space="0" w:color="C9C9D2"/>
          <w:bottom w:val="single" w:sz="4" w:space="0" w:color="C9C9D2"/>
          <w:right w:val="single" w:sz="4" w:space="0" w:color="C9C9D2"/>
          <w:insideH w:val="single" w:sz="4" w:space="0" w:color="C9C9D2"/>
          <w:insideV w:val="single" w:sz="4" w:space="0" w:color="C9C9D2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3175"/>
        <w:gridCol w:w="6237"/>
      </w:tblGrid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Les pages qui apportent des visites ou des demandes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[liste issue de vos relevés]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Les recherches sur lesquelles le site est bien placé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[requêtes et position actuelle]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Ce que vos clients utilisent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[formulaire, FAQ, tarifs en PDF, espace client, prise de rendez-vous]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Les habitudes internes à préserver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[qui met à jour quoi, à quelle fréquence]</w:t>
            </w:r>
          </w:p>
        </w:tc>
      </w:tr>
    </w:tbl>
    <w:p>
      <w:pPr>
        <w:pStyle w:val="Heading1"/>
      </w:pPr>
      <w:r>
        <w:t>3. Objectifs mesurables</w:t>
      </w:r>
    </w:p>
    <w:p>
      <w:pPr>
        <w:keepNext/>
      </w:pPr>
      <w:r>
        <w:rPr>
          <w:i/>
          <w:color w:val="5A5A66"/>
          <w:sz w:val="20"/>
        </w:rPr>
        <w:t>Chaque objectif indique d'où vous partez et où vous voulez arriver. Sans valeur de départ, personne ne pourra dire si la refonte a réussi.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C9C9D2"/>
          <w:left w:val="single" w:sz="4" w:space="0" w:color="C9C9D2"/>
          <w:bottom w:val="single" w:sz="4" w:space="0" w:color="C9C9D2"/>
          <w:right w:val="single" w:sz="4" w:space="0" w:color="C9C9D2"/>
          <w:insideH w:val="single" w:sz="4" w:space="0" w:color="C9C9D2"/>
          <w:insideV w:val="single" w:sz="4" w:space="0" w:color="C9C9D2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041"/>
        <w:gridCol w:w="2211"/>
        <w:gridCol w:w="1530"/>
        <w:gridCol w:w="1701"/>
        <w:gridCol w:w="1927"/>
      </w:tblGrid>
      <w:tr>
        <w:trPr>
          <w:tblHeader/>
          <w:cantSplit/>
        </w:trPr>
        <w:tc>
          <w:tcPr>
            <w:tcW w:type="dxa" w:w="2041"/>
            <w:shd w:val="clear" w:color="auto" w:fill="191928"/>
          </w:tcPr>
          <w:p>
            <w:pPr>
              <w:spacing w:after="0" w:line="264" w:lineRule="auto"/>
            </w:pPr>
            <w:r>
              <w:rPr>
                <w:b/>
                <w:color w:val="FFFFFF"/>
                <w:sz w:val="18"/>
              </w:rPr>
              <w:t>Objectif</w:t>
            </w:r>
          </w:p>
        </w:tc>
        <w:tc>
          <w:tcPr>
            <w:tcW w:type="dxa" w:w="2211"/>
            <w:shd w:val="clear" w:color="auto" w:fill="191928"/>
          </w:tcPr>
          <w:p>
            <w:pPr>
              <w:spacing w:after="0" w:line="264" w:lineRule="auto"/>
            </w:pPr>
            <w:r>
              <w:rPr>
                <w:b/>
                <w:color w:val="FFFFFF"/>
                <w:sz w:val="18"/>
              </w:rPr>
              <w:t>Indicateur</w:t>
            </w:r>
          </w:p>
        </w:tc>
        <w:tc>
          <w:tcPr>
            <w:tcW w:type="dxa" w:w="1531"/>
            <w:shd w:val="clear" w:color="auto" w:fill="191928"/>
          </w:tcPr>
          <w:p>
            <w:pPr>
              <w:spacing w:after="0" w:line="264" w:lineRule="auto"/>
            </w:pPr>
            <w:r>
              <w:rPr>
                <w:b/>
                <w:color w:val="FFFFFF"/>
                <w:sz w:val="18"/>
              </w:rPr>
              <w:t>Aujourd'hui</w:t>
            </w:r>
          </w:p>
        </w:tc>
        <w:tc>
          <w:tcPr>
            <w:tcW w:type="dxa" w:w="1701"/>
            <w:shd w:val="clear" w:color="auto" w:fill="191928"/>
          </w:tcPr>
          <w:p>
            <w:pPr>
              <w:spacing w:after="0" w:line="264" w:lineRule="auto"/>
            </w:pPr>
            <w:r>
              <w:rPr>
                <w:b/>
                <w:color w:val="FFFFFF"/>
                <w:sz w:val="18"/>
              </w:rPr>
              <w:t>Cible</w:t>
            </w:r>
          </w:p>
        </w:tc>
        <w:tc>
          <w:tcPr>
            <w:tcW w:type="dxa" w:w="1928"/>
            <w:shd w:val="clear" w:color="auto" w:fill="191928"/>
          </w:tcPr>
          <w:p>
            <w:pPr>
              <w:spacing w:after="0" w:line="264" w:lineRule="auto"/>
            </w:pPr>
            <w:r>
              <w:rPr>
                <w:b/>
                <w:color w:val="FFFFFF"/>
                <w:sz w:val="18"/>
              </w:rPr>
              <w:t>Échéance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Recevoir plus de demandes</w:t>
            </w:r>
          </w:p>
        </w:tc>
        <w:tc>
          <w:tcPr>
            <w:tcW w:type="dxa" w:w="221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Formulaires envoyés par mois</w:t>
            </w:r>
          </w:p>
        </w:tc>
        <w:tc>
          <w:tcPr>
            <w:tcW w:type="dxa" w:w="1531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[valeur]</w:t>
            </w:r>
          </w:p>
        </w:tc>
        <w:tc>
          <w:tcPr>
            <w:tcW w:type="dxa" w:w="1701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[valeur]</w:t>
            </w:r>
          </w:p>
        </w:tc>
        <w:tc>
          <w:tcPr>
            <w:tcW w:type="dxa" w:w="1928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[3 mois après la bascule]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Conserver le référencement</w:t>
            </w:r>
          </w:p>
        </w:tc>
        <w:tc>
          <w:tcPr>
            <w:tcW w:type="dxa" w:w="221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Clics mensuels dans la Search Console</w:t>
            </w:r>
          </w:p>
        </w:tc>
        <w:tc>
          <w:tcPr>
            <w:tcW w:type="dxa" w:w="1531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[valeur]</w:t>
            </w:r>
          </w:p>
        </w:tc>
        <w:tc>
          <w:tcPr>
            <w:tcW w:type="dxa" w:w="1701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[au moins la valeur actuelle]</w:t>
            </w:r>
          </w:p>
        </w:tc>
        <w:tc>
          <w:tcPr>
            <w:tcW w:type="dxa" w:w="1928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[3 mois après la bascule]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Mettre à jour le site sans aide</w:t>
            </w:r>
          </w:p>
        </w:tc>
        <w:tc>
          <w:tcPr>
            <w:tcW w:type="dxa" w:w="221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Modifications faites sans prestataire</w:t>
            </w:r>
          </w:p>
        </w:tc>
        <w:tc>
          <w:tcPr>
            <w:tcW w:type="dxa" w:w="1531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[valeur]</w:t>
            </w:r>
          </w:p>
        </w:tc>
        <w:tc>
          <w:tcPr>
            <w:tcW w:type="dxa" w:w="1701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[valeur]</w:t>
            </w:r>
          </w:p>
        </w:tc>
        <w:tc>
          <w:tcPr>
            <w:tcW w:type="dxa" w:w="1928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[échéance]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221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153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1928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221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153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170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1928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</w:tr>
    </w:tbl>
    <w:p>
      <w:pPr>
        <w:pStyle w:val="Heading1"/>
      </w:pPr>
      <w:r>
        <w:t>4. État actuel du site</w:t>
      </w:r>
    </w:p>
    <w:p>
      <w:pPr>
        <w:keepNext/>
        <w:spacing w:after="40"/>
      </w:pPr>
      <w:r>
        <w:rPr>
          <w:b/>
          <w:color w:val="A84A00"/>
          <w:sz w:val="18"/>
        </w:rPr>
        <w:t>Propre à la refonte</w:t>
      </w:r>
    </w:p>
    <w:p>
      <w:pPr>
        <w:keepNext/>
      </w:pPr>
      <w:r>
        <w:rPr>
          <w:i/>
          <w:color w:val="5A5A66"/>
          <w:sz w:val="20"/>
        </w:rPr>
        <w:t>Ces informations évitent les mauvaises surprises au chiffrage et servent de référence après la mise en ligne.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C9C9D2"/>
          <w:left w:val="single" w:sz="4" w:space="0" w:color="C9C9D2"/>
          <w:bottom w:val="single" w:sz="4" w:space="0" w:color="C9C9D2"/>
          <w:right w:val="single" w:sz="4" w:space="0" w:color="C9C9D2"/>
          <w:insideH w:val="single" w:sz="4" w:space="0" w:color="C9C9D2"/>
          <w:insideV w:val="single" w:sz="4" w:space="0" w:color="C9C9D2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3175"/>
        <w:gridCol w:w="6237"/>
      </w:tblGrid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Technique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[outil et version, thème, extensions importantes, hébergeur]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Fréquentation sur douze mois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[visites, pages les plus vues, demandes, appels]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Référencement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[clics, impressions, principales requêtes, pages qui reçoivent des liens]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Nom de domaine et e-mails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[où le domaine est géré, qui héberge les e-mails]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Outils connectés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[paiement, gestion client, newsletter, agenda, comptabilité]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Comptes et accès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[pour chaque compte : titulaire, personne qui a l'accès]</w:t>
            </w:r>
          </w:p>
        </w:tc>
      </w:tr>
    </w:tbl>
    <w:p>
      <w:pPr>
        <w:pStyle w:val="Heading1"/>
      </w:pPr>
      <w:r>
        <w:t>5. Inventaire des pages et décisions</w:t>
      </w:r>
    </w:p>
    <w:p>
      <w:pPr>
        <w:keepNext/>
        <w:spacing w:after="40"/>
      </w:pPr>
      <w:r>
        <w:rPr>
          <w:b/>
          <w:color w:val="A84A00"/>
          <w:sz w:val="18"/>
        </w:rPr>
        <w:t>Propre à la refonte</w:t>
      </w:r>
    </w:p>
    <w:p>
      <w:pPr>
        <w:keepNext/>
      </w:pPr>
      <w:r>
        <w:rPr>
          <w:i/>
          <w:color w:val="5A5A66"/>
          <w:sz w:val="20"/>
        </w:rPr>
        <w:t>Une ligne par adresse, généralement dans un tableur joint au document. Si une adresse n'a aucune raison de changer, gardez-la : c'est la solution la plus sûre.</w:t>
      </w:r>
    </w:p>
    <w:p>
      <w:pPr>
        <w:keepNext/>
      </w:pPr>
      <w:r>
        <w:rPr>
          <w:i/>
          <w:color w:val="5A5A66"/>
          <w:sz w:val="20"/>
        </w:rPr>
        <w:t>Ces lignes illustrent le format. Quatre décisions suffisent : garder, réécrire, fusionner, supprimer. Une page supprimée garde une redirection vers la page la plus proche.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C9C9D2"/>
          <w:left w:val="single" w:sz="4" w:space="0" w:color="C9C9D2"/>
          <w:bottom w:val="single" w:sz="4" w:space="0" w:color="C9C9D2"/>
          <w:right w:val="single" w:sz="4" w:space="0" w:color="C9C9D2"/>
          <w:insideH w:val="single" w:sz="4" w:space="0" w:color="C9C9D2"/>
          <w:insideV w:val="single" w:sz="4" w:space="0" w:color="C9C9D2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268"/>
        <w:gridCol w:w="1304"/>
        <w:gridCol w:w="1134"/>
        <w:gridCol w:w="1304"/>
        <w:gridCol w:w="3402"/>
      </w:tblGrid>
      <w:tr>
        <w:trPr>
          <w:tblHeader/>
          <w:cantSplit/>
        </w:trPr>
        <w:tc>
          <w:tcPr>
            <w:tcW w:type="dxa" w:w="2268"/>
            <w:shd w:val="clear" w:color="auto" w:fill="191928"/>
          </w:tcPr>
          <w:p>
            <w:pPr>
              <w:spacing w:after="0" w:line="264" w:lineRule="auto"/>
            </w:pPr>
            <w:r>
              <w:rPr>
                <w:b/>
                <w:color w:val="FFFFFF"/>
                <w:sz w:val="18"/>
              </w:rPr>
              <w:t>Adresse actuelle</w:t>
            </w:r>
          </w:p>
        </w:tc>
        <w:tc>
          <w:tcPr>
            <w:tcW w:type="dxa" w:w="1304"/>
            <w:shd w:val="clear" w:color="auto" w:fill="191928"/>
          </w:tcPr>
          <w:p>
            <w:pPr>
              <w:spacing w:after="0" w:line="264" w:lineRule="auto"/>
            </w:pPr>
            <w:r>
              <w:rPr>
                <w:b/>
                <w:color w:val="FFFFFF"/>
                <w:sz w:val="18"/>
              </w:rPr>
              <w:t>Visites sur 12 mois</w:t>
            </w:r>
          </w:p>
        </w:tc>
        <w:tc>
          <w:tcPr>
            <w:tcW w:type="dxa" w:w="1134"/>
            <w:shd w:val="clear" w:color="auto" w:fill="191928"/>
          </w:tcPr>
          <w:p>
            <w:pPr>
              <w:spacing w:after="0" w:line="264" w:lineRule="auto"/>
            </w:pPr>
            <w:r>
              <w:rPr>
                <w:b/>
                <w:color w:val="FFFFFF"/>
                <w:sz w:val="18"/>
              </w:rPr>
              <w:t>Liens entrants</w:t>
            </w:r>
          </w:p>
        </w:tc>
        <w:tc>
          <w:tcPr>
            <w:tcW w:type="dxa" w:w="1304"/>
            <w:shd w:val="clear" w:color="auto" w:fill="191928"/>
          </w:tcPr>
          <w:p>
            <w:pPr>
              <w:spacing w:after="0" w:line="264" w:lineRule="auto"/>
            </w:pPr>
            <w:r>
              <w:rPr>
                <w:b/>
                <w:color w:val="FFFFFF"/>
                <w:sz w:val="18"/>
              </w:rPr>
              <w:t>Décision</w:t>
            </w:r>
          </w:p>
        </w:tc>
        <w:tc>
          <w:tcPr>
            <w:tcW w:type="dxa" w:w="3402"/>
            <w:shd w:val="clear" w:color="auto" w:fill="191928"/>
          </w:tcPr>
          <w:p>
            <w:pPr>
              <w:spacing w:after="0" w:line="264" w:lineRule="auto"/>
            </w:pPr>
            <w:r>
              <w:rPr>
                <w:b/>
                <w:color w:val="FFFFFF"/>
                <w:sz w:val="18"/>
              </w:rPr>
              <w:t>Adresse future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/tarifs/</w:t>
            </w:r>
          </w:p>
        </w:tc>
        <w:tc>
          <w:tcPr>
            <w:tcW w:type="dxa" w:w="1304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[valeur]</w:t>
            </w:r>
          </w:p>
        </w:tc>
        <w:tc>
          <w:tcPr>
            <w:tcW w:type="dxa" w:w="1134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[valeur]</w:t>
            </w:r>
          </w:p>
        </w:tc>
        <w:tc>
          <w:tcPr>
            <w:tcW w:type="dxa" w:w="1304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Garder</w:t>
            </w:r>
          </w:p>
        </w:tc>
        <w:tc>
          <w:tcPr>
            <w:tcW w:type="dxa" w:w="3402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/tarifs/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/nos-services.html</w:t>
            </w:r>
          </w:p>
        </w:tc>
        <w:tc>
          <w:tcPr>
            <w:tcW w:type="dxa" w:w="1304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[valeur]</w:t>
            </w:r>
          </w:p>
        </w:tc>
        <w:tc>
          <w:tcPr>
            <w:tcW w:type="dxa" w:w="1134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[valeur]</w:t>
            </w:r>
          </w:p>
        </w:tc>
        <w:tc>
          <w:tcPr>
            <w:tcW w:type="dxa" w:w="1304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Réécrire</w:t>
            </w:r>
          </w:p>
        </w:tc>
        <w:tc>
          <w:tcPr>
            <w:tcW w:type="dxa" w:w="3402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/services/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/references/</w:t>
            </w:r>
          </w:p>
        </w:tc>
        <w:tc>
          <w:tcPr>
            <w:tcW w:type="dxa" w:w="1304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[valeur]</w:t>
            </w:r>
          </w:p>
        </w:tc>
        <w:tc>
          <w:tcPr>
            <w:tcW w:type="dxa" w:w="1134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[valeur]</w:t>
            </w:r>
          </w:p>
        </w:tc>
        <w:tc>
          <w:tcPr>
            <w:tcW w:type="dxa" w:w="1304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Fusionner</w:t>
            </w:r>
          </w:p>
        </w:tc>
        <w:tc>
          <w:tcPr>
            <w:tcW w:type="dxa" w:w="3402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/realisations/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/actualites-2019/</w:t>
            </w:r>
          </w:p>
        </w:tc>
        <w:tc>
          <w:tcPr>
            <w:tcW w:type="dxa" w:w="1304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[valeur]</w:t>
            </w:r>
          </w:p>
        </w:tc>
        <w:tc>
          <w:tcPr>
            <w:tcW w:type="dxa" w:w="1134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[valeur]</w:t>
            </w:r>
          </w:p>
        </w:tc>
        <w:tc>
          <w:tcPr>
            <w:tcW w:type="dxa" w:w="1304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Supprimer</w:t>
            </w:r>
          </w:p>
        </w:tc>
        <w:tc>
          <w:tcPr>
            <w:tcW w:type="dxa" w:w="3402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/actualites/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1304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1304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3402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1304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1304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3402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1304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1304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3402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1304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1134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1304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3402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</w:tr>
    </w:tbl>
    <w:p>
      <w:pPr>
        <w:pStyle w:val="Heading1"/>
      </w:pPr>
      <w:r>
        <w:t>6. Structure, contenus et fonctionnalités attendus</w:t>
      </w:r>
    </w:p>
    <w:p>
      <w:pPr>
        <w:keepNext/>
      </w:pPr>
      <w:r>
        <w:rPr>
          <w:i/>
          <w:color w:val="5A5A66"/>
          <w:sz w:val="20"/>
        </w:rPr>
        <w:t>Décrivez le résultat recherché plutôt que la solution technique. « Je veux publier une réalisation depuis mon téléphone » aide davantage que le nom d'une extension.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C9C9D2"/>
          <w:left w:val="single" w:sz="4" w:space="0" w:color="C9C9D2"/>
          <w:bottom w:val="single" w:sz="4" w:space="0" w:color="C9C9D2"/>
          <w:right w:val="single" w:sz="4" w:space="0" w:color="C9C9D2"/>
          <w:insideH w:val="single" w:sz="4" w:space="0" w:color="C9C9D2"/>
          <w:insideV w:val="single" w:sz="4" w:space="0" w:color="C9C9D2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3175"/>
        <w:gridCol w:w="6237"/>
      </w:tblGrid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Les publics et ce qu'ils viennent chercher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[deux ou trois profils, leur besoin principal]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L'arborescence visée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[pages principales du menu]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Les contenus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[qui écrit, qui fournit les photos, nombre de pages à rédiger, langues]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Ce que vous voulez modifier seul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[textes, photos, actualités, tarifs]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L'identité visuelle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[logo, couleurs, sites appréciés et pourquoi]</w:t>
            </w:r>
          </w:p>
        </w:tc>
      </w:tr>
    </w:tbl>
    <w:p>
      <w:pPr>
        <w:keepNext/>
        <w:spacing w:after="80"/>
      </w:pP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C9C9D2"/>
          <w:left w:val="single" w:sz="4" w:space="0" w:color="C9C9D2"/>
          <w:bottom w:val="single" w:sz="4" w:space="0" w:color="C9C9D2"/>
          <w:right w:val="single" w:sz="4" w:space="0" w:color="C9C9D2"/>
          <w:insideH w:val="single" w:sz="4" w:space="0" w:color="C9C9D2"/>
          <w:insideV w:val="single" w:sz="4" w:space="0" w:color="C9C9D2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041"/>
        <w:gridCol w:w="7371"/>
      </w:tblGrid>
      <w:tr>
        <w:trPr>
          <w:tblHeader/>
          <w:cantSplit/>
        </w:trPr>
        <w:tc>
          <w:tcPr>
            <w:tcW w:type="dxa" w:w="2041"/>
            <w:shd w:val="clear" w:color="auto" w:fill="191928"/>
          </w:tcPr>
          <w:p>
            <w:pPr>
              <w:spacing w:after="0" w:line="264" w:lineRule="auto"/>
            </w:pPr>
            <w:r>
              <w:rPr>
                <w:b/>
                <w:color w:val="FFFFFF"/>
                <w:sz w:val="18"/>
              </w:rPr>
              <w:t>Priorité</w:t>
            </w:r>
          </w:p>
        </w:tc>
        <w:tc>
          <w:tcPr>
            <w:tcW w:type="dxa" w:w="7370"/>
            <w:shd w:val="clear" w:color="auto" w:fill="191928"/>
          </w:tcPr>
          <w:p>
            <w:pPr>
              <w:spacing w:after="0" w:line="264" w:lineRule="auto"/>
            </w:pPr>
            <w:r>
              <w:rPr>
                <w:b/>
                <w:color w:val="FFFFFF"/>
                <w:sz w:val="18"/>
              </w:rPr>
              <w:t>Fonctionnalités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Indispensable</w:t>
            </w:r>
          </w:p>
        </w:tc>
        <w:tc>
          <w:tcPr>
            <w:tcW w:type="dxa" w:w="7370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[sans cela, le site ne peut pas être mis en ligne]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Souhaitable</w:t>
            </w:r>
          </w:p>
        </w:tc>
        <w:tc>
          <w:tcPr>
            <w:tcW w:type="dxa" w:w="7370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[à chiffrer séparément, à ajouter si le budget le permet]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Hors périmètre</w:t>
            </w:r>
          </w:p>
        </w:tc>
        <w:tc>
          <w:tcPr>
            <w:tcW w:type="dxa" w:w="7370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[écarté pour cette version]</w:t>
            </w:r>
          </w:p>
        </w:tc>
      </w:tr>
    </w:tbl>
    <w:p>
      <w:pPr>
        <w:pStyle w:val="Heading1"/>
      </w:pPr>
      <w:r>
        <w:t>7. Exigences et critères de réception</w:t>
      </w:r>
    </w:p>
    <w:p>
      <w:pPr>
        <w:keepNext/>
      </w:pPr>
      <w:r>
        <w:rPr>
          <w:i/>
          <w:color w:val="5A5A66"/>
          <w:sz w:val="20"/>
        </w:rPr>
        <w:t>La réception, souvent appelée recette, est le moment où vous vérifiez que le site livré correspond à la commande. Un critère que l'on peut contrôler évite un désaccord à la fin du projet.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C9C9D2"/>
          <w:left w:val="single" w:sz="4" w:space="0" w:color="C9C9D2"/>
          <w:bottom w:val="single" w:sz="4" w:space="0" w:color="C9C9D2"/>
          <w:right w:val="single" w:sz="4" w:space="0" w:color="C9C9D2"/>
          <w:insideH w:val="single" w:sz="4" w:space="0" w:color="C9C9D2"/>
          <w:insideV w:val="single" w:sz="4" w:space="0" w:color="C9C9D2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1701"/>
        <w:gridCol w:w="4309"/>
        <w:gridCol w:w="3402"/>
      </w:tblGrid>
      <w:tr>
        <w:trPr>
          <w:tblHeader/>
          <w:cantSplit/>
        </w:trPr>
        <w:tc>
          <w:tcPr>
            <w:tcW w:type="dxa" w:w="1701"/>
            <w:shd w:val="clear" w:color="auto" w:fill="191928"/>
          </w:tcPr>
          <w:p>
            <w:pPr>
              <w:spacing w:after="0" w:line="264" w:lineRule="auto"/>
            </w:pPr>
            <w:r>
              <w:rPr>
                <w:b/>
                <w:color w:val="FFFFFF"/>
                <w:sz w:val="18"/>
              </w:rPr>
              <w:t>Exigence</w:t>
            </w:r>
          </w:p>
        </w:tc>
        <w:tc>
          <w:tcPr>
            <w:tcW w:type="dxa" w:w="4309"/>
            <w:shd w:val="clear" w:color="auto" w:fill="191928"/>
          </w:tcPr>
          <w:p>
            <w:pPr>
              <w:spacing w:after="0" w:line="264" w:lineRule="auto"/>
            </w:pPr>
            <w:r>
              <w:rPr>
                <w:b/>
                <w:color w:val="FFFFFF"/>
                <w:sz w:val="18"/>
              </w:rPr>
              <w:t>Critère</w:t>
            </w:r>
          </w:p>
        </w:tc>
        <w:tc>
          <w:tcPr>
            <w:tcW w:type="dxa" w:w="3402"/>
            <w:shd w:val="clear" w:color="auto" w:fill="191928"/>
          </w:tcPr>
          <w:p>
            <w:pPr>
              <w:spacing w:after="0" w:line="264" w:lineRule="auto"/>
            </w:pPr>
            <w:r>
              <w:rPr>
                <w:b/>
                <w:color w:val="FFFFFF"/>
                <w:sz w:val="18"/>
              </w:rPr>
              <w:t>Comment le vérifier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Vitesse</w:t>
            </w:r>
          </w:p>
        </w:tc>
        <w:tc>
          <w:tcPr>
            <w:tcW w:type="dxa" w:w="4309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LCP sous 2,5 s et CLS sous 0,1 sur les pages principales</w:t>
            </w:r>
          </w:p>
        </w:tc>
        <w:tc>
          <w:tcPr>
            <w:tcW w:type="dxa" w:w="3402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PageSpeed Insights, le jour de la livraison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Réactivité</w:t>
            </w:r>
          </w:p>
        </w:tc>
        <w:tc>
          <w:tcPr>
            <w:tcW w:type="dxa" w:w="4309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INP sous 200 ms</w:t>
            </w:r>
          </w:p>
        </w:tc>
        <w:tc>
          <w:tcPr>
            <w:tcW w:type="dxa" w:w="3402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Données de vrais visiteurs, quelques semaines après la mise en ligne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Mobile</w:t>
            </w:r>
          </w:p>
        </w:tc>
        <w:tc>
          <w:tcPr>
            <w:tcW w:type="dxa" w:w="4309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Aucun défilement horizontal à 360 px, boutons et formulaires utilisables au doigt</w:t>
            </w:r>
          </w:p>
        </w:tc>
        <w:tc>
          <w:tcPr>
            <w:tcW w:type="dxa" w:w="3402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Sur un vrai téléphone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Formulaires</w:t>
            </w:r>
          </w:p>
        </w:tc>
        <w:tc>
          <w:tcPr>
            <w:tcW w:type="dxa" w:w="4309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Chaque formulaire envoie un message reçu à la bonne adresse</w:t>
            </w:r>
          </w:p>
        </w:tc>
        <w:tc>
          <w:tcPr>
            <w:tcW w:type="dxa" w:w="3402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Un envoi réel par formulaire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Accessibilité</w:t>
            </w:r>
          </w:p>
        </w:tc>
        <w:tc>
          <w:tcPr>
            <w:tcW w:type="dxa" w:w="4309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Navigation au clavier, contrastes suffisants, textes alternatifs, [niveau visé]</w:t>
            </w:r>
          </w:p>
        </w:tc>
        <w:tc>
          <w:tcPr>
            <w:tcW w:type="dxa" w:w="3402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Test au clavier et audit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Consentement</w:t>
            </w:r>
          </w:p>
        </w:tc>
        <w:tc>
          <w:tcPr>
            <w:tcW w:type="dxa" w:w="4309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Aucun traceur soumis à consentement avant le choix, refus aussi simple que l'acceptation</w:t>
            </w:r>
          </w:p>
        </w:tc>
        <w:tc>
          <w:tcPr>
            <w:tcW w:type="dxa" w:w="3402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Outils de développement du navigateur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Référencement</w:t>
            </w:r>
          </w:p>
        </w:tc>
        <w:tc>
          <w:tcPr>
            <w:tcW w:type="dxa" w:w="4309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Titres uniques, sitemap à jour, aucune balise noindex oubliée</w:t>
            </w:r>
          </w:p>
        </w:tc>
        <w:tc>
          <w:tcPr>
            <w:tcW w:type="dxa" w:w="3402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Crawl du site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Sauvegarde</w:t>
            </w:r>
          </w:p>
        </w:tc>
        <w:tc>
          <w:tcPr>
            <w:tcW w:type="dxa" w:w="4309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Une restauration réellement testée</w:t>
            </w:r>
          </w:p>
        </w:tc>
        <w:tc>
          <w:tcPr>
            <w:tcW w:type="dxa" w:w="3402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>Démonstration par le prestataire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4309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3402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4309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  <w:tc>
          <w:tcPr>
            <w:tcW w:type="dxa" w:w="3402"/>
          </w:tcPr>
          <w:p>
            <w:pPr>
              <w:spacing w:after="0" w:line="264" w:lineRule="auto"/>
            </w:pPr>
            <w:r>
              <w:rPr>
                <w:b w:val="0"/>
                <w:sz w:val="19"/>
              </w:rPr>
              <w:t xml:space="preserve"> </w:t>
            </w:r>
          </w:p>
        </w:tc>
      </w:tr>
    </w:tbl>
    <w:p>
      <w:pPr>
        <w:pStyle w:val="Heading1"/>
      </w:pPr>
      <w:r>
        <w:t>8. Redirections et bascule</w:t>
      </w:r>
    </w:p>
    <w:p>
      <w:pPr>
        <w:keepNext/>
        <w:spacing w:after="40"/>
      </w:pPr>
      <w:r>
        <w:rPr>
          <w:b/>
          <w:color w:val="A84A00"/>
          <w:sz w:val="18"/>
        </w:rPr>
        <w:t>Propre à la refonte</w:t>
      </w:r>
    </w:p>
    <w:p>
      <w:pPr>
        <w:keepNext/>
      </w:pPr>
      <w:r>
        <w:rPr>
          <w:i/>
          <w:color w:val="5A5A66"/>
          <w:sz w:val="20"/>
        </w:rPr>
        <w:t>La bascule est le moment où le nouveau site remplace l'ancien. Une redirection 301 envoie durablement les visiteurs et les moteurs de recherche de l'ancienne adresse vers la nouvelle.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C9C9D2"/>
          <w:left w:val="single" w:sz="4" w:space="0" w:color="C9C9D2"/>
          <w:bottom w:val="single" w:sz="4" w:space="0" w:color="C9C9D2"/>
          <w:right w:val="single" w:sz="4" w:space="0" w:color="C9C9D2"/>
          <w:insideH w:val="single" w:sz="4" w:space="0" w:color="C9C9D2"/>
          <w:insideV w:val="single" w:sz="4" w:space="0" w:color="C9C9D2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3175"/>
        <w:gridCol w:w="6237"/>
      </w:tblGrid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Plan de redirections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[qui le prépare, pour quelle date, qui le valide]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Site de test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[adresse protégée et non indexée, accessible pour vos validations]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Date de bascule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[jour et heure, hors période de forte activité]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Gel des contenus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[date à partir de laquelle l'ancien site ne change plus]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Sauvegarde et retour arrière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[sauvegarde complète, qui peut revenir en arrière, en combien de temps]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Domaine et e-mails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[qui modifie les DNS, comment les e-mails restent joignables]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Tests le jour même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[toutes les adresses de l'inventaire, formulaires, paiement, statistiques, HTTPS, robots.txt]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Suivi après la bascule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[durée, erreurs à surveiller, qui corrige]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Conservation des redirections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[au moins un an]</w:t>
            </w:r>
          </w:p>
        </w:tc>
      </w:tr>
    </w:tbl>
    <w:p>
      <w:pPr>
        <w:pStyle w:val="Heading1"/>
      </w:pPr>
      <w:r>
        <w:t>9. Propriété, accès et maintenance</w:t>
      </w:r>
    </w:p>
    <w:p>
      <w:pPr>
        <w:keepNext/>
      </w:pPr>
      <w:r>
        <w:rPr>
          <w:i/>
          <w:color w:val="5A5A66"/>
          <w:sz w:val="20"/>
        </w:rPr>
        <w:t>Cette rubrique décide de votre liberté de changer de prestataire plus tard.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C9C9D2"/>
          <w:left w:val="single" w:sz="4" w:space="0" w:color="C9C9D2"/>
          <w:bottom w:val="single" w:sz="4" w:space="0" w:color="C9C9D2"/>
          <w:right w:val="single" w:sz="4" w:space="0" w:color="C9C9D2"/>
          <w:insideH w:val="single" w:sz="4" w:space="0" w:color="C9C9D2"/>
          <w:insideV w:val="single" w:sz="4" w:space="0" w:color="C9C9D2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3175"/>
        <w:gridCol w:w="6237"/>
      </w:tblGrid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Comptes à votre nom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[nom de domaine, hébergement, statistiques, Search Console]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Droits sur le site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[code spécifique, maquettes, contenus créés : étendue, usage, lieu et durée de la cession]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Licences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[photos, polices, extensions payantes : qui les détient, qui les renouvelle]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Éléments livrés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[fichiers, base de données, documentation, accès administrateur]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Formation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[personnes concernées, durée]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Garantie et maintenance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[durée de correction des anomalies, forfait après livraison]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Réversibilité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[ce que vous récupérez si vous changez de prestataire]</w:t>
            </w:r>
          </w:p>
        </w:tc>
      </w:tr>
    </w:tbl>
    <w:p>
      <w:pPr>
        <w:pStyle w:val="Heading1"/>
      </w:pPr>
      <w:r>
        <w:t>10. Budget, calendrier et réponse attendue</w:t>
      </w:r>
    </w:p>
    <w:p>
      <w:pPr>
        <w:keepNext/>
      </w:pPr>
      <w:r>
        <w:rPr>
          <w:i/>
          <w:color w:val="5A5A66"/>
          <w:sz w:val="20"/>
        </w:rPr>
        <w:t>Donner une fourchette ne vous affaiblit pas : elle permet au prestataire de dire si le projet tient dedans, et sinon par quoi commencer.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C9C9D2"/>
          <w:left w:val="single" w:sz="4" w:space="0" w:color="C9C9D2"/>
          <w:bottom w:val="single" w:sz="4" w:space="0" w:color="C9C9D2"/>
          <w:right w:val="single" w:sz="4" w:space="0" w:color="C9C9D2"/>
          <w:insideH w:val="single" w:sz="4" w:space="0" w:color="C9C9D2"/>
          <w:insideV w:val="single" w:sz="4" w:space="0" w:color="C9C9D2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3175"/>
        <w:gridCol w:w="6237"/>
      </w:tblGrid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Enveloppe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[fourchette HT, ce qui peut être reporté si elle est dépassée]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Calendrier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[date souhaitée ou imposée, vos périodes d'indisponibilité]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Votre disponibilité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[personne qui valide, délai de relecture]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Réponse attendue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[devis poste par poste, planning, personne qui réalise le travail, exemples comparables, exclusions]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Critères de choix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[par ordre d'importance]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Dates de la consultation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[date limite de réponse, personne à contacter]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1F1F4"/>
          </w:tcPr>
          <w:p>
            <w:pPr>
              <w:spacing w:after="0" w:line="264" w:lineRule="auto"/>
            </w:pPr>
            <w:r>
              <w:rPr>
                <w:b/>
                <w:color w:val="191928"/>
                <w:sz w:val="19"/>
              </w:rPr>
              <w:t>Documents joints</w:t>
            </w:r>
          </w:p>
        </w:tc>
        <w:tc>
          <w:tcPr>
            <w:tcW w:type="dxa" w:w="6236"/>
          </w:tcPr>
          <w:p>
            <w:pPr>
              <w:spacing w:after="0" w:line="264" w:lineRule="auto"/>
            </w:pPr>
            <w:r>
              <w:rPr>
                <w:b w:val="0"/>
                <w:color w:val="5A5A66"/>
                <w:sz w:val="19"/>
              </w:rPr>
              <w:t>[inventaire, exports, accès en lecture, maquettes ou exemples]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A66"/>
        <w:sz w:val="16"/>
      </w:rPr>
      <w:t xml:space="preserve">Modèle de Jonas Millet, développeur web freelance · jonasmillet.com · Page </w:t>
    </w:r>
    <w:r>
      <w:rPr>
        <w:color w:val="5A5A66"/>
        <w:sz w:val="16"/>
      </w:rPr>
      <w:fldChar w:fldCharType="begin"/>
    </w:r>
    <w:r>
      <w:rPr>
        <w:color w:val="5A5A66"/>
        <w:sz w:val="16"/>
      </w:rPr>
      <w:instrText xml:space="preserve">PAGE</w:instrText>
    </w:r>
    <w:r>
      <w:rPr>
        <w:color w:val="5A5A66"/>
        <w:sz w:val="16"/>
      </w:rPr>
      <w:fldChar w:fldCharType="separate"/>
    </w:r>
    <w:r>
      <w:rPr>
        <w:color w:val="5A5A66"/>
        <w:sz w:val="16"/>
      </w:rPr>
      <w:t>1</w:t>
    </w:r>
    <w:r>
      <w:rPr>
        <w:color w:val="5A5A66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sz w:val="21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 w:after="80"/>
      <w:outlineLvl w:val="0"/>
    </w:pPr>
    <w:rPr>
      <w:rFonts w:ascii="Arial" w:hAnsi="Arial" w:eastAsia="Arial" w:cs="Arial"/>
      <w:b/>
      <w:bCs/>
      <w:color w:val="19192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color w:val="19192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  <w:pBdr>
        <w:bottom w:val="single" w:sz="18" w:space="6" w:color="FF7406"/>
      </w:pBdr>
    </w:pPr>
    <w:rPr>
      <w:rFonts w:ascii="Arial" w:hAnsi="Arial" w:eastAsia="Arial" w:cs="Arial"/>
      <w:b/>
      <w:color w:val="19192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jonasmillet.com/blog/cahier-des-charges-refonte-site-internet/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de refonte de site internet</dc:title>
  <dc:subject>Modèle gratuit</dc:subject>
  <dc:creator>Jonas Millet</dc:creator>
  <cp:keywords>cahier des charges, refonte, site internet</cp:keywords>
  <dc:description/>
  <cp:lastModifiedBy>Jonas Millet</cp:lastModifiedBy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